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135" w:rsidRDefault="003E19E3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Пояснительная записка</w:t>
      </w:r>
    </w:p>
    <w:p w:rsidR="00361135" w:rsidRDefault="003E19E3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 xml:space="preserve">к инвестиционной программе </w:t>
      </w:r>
    </w:p>
    <w:p w:rsidR="00361135" w:rsidRDefault="003E19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филиала «АтомЭнергоСбыт» Смоленск</w:t>
      </w:r>
    </w:p>
    <w:p w:rsidR="00361135" w:rsidRDefault="003E19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2025-2028г.</w:t>
      </w:r>
    </w:p>
    <w:p w:rsidR="00361135" w:rsidRDefault="003E19E3">
      <w:pPr>
        <w:ind w:left="36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4"/>
        </w:rPr>
        <w:t>. Общая характеристика инвестиционной программы</w:t>
      </w:r>
    </w:p>
    <w:p w:rsidR="00361135" w:rsidRDefault="003E19E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Инвестиционная программа филиала «АтомЭнергоСбыт» Смоленск сформирована исходя из требований обеспечения высокого уровня обслуживания потребителей, выполнения требований нормативных документов в сфере электроэнергетики.  </w:t>
      </w:r>
    </w:p>
    <w:p w:rsidR="00361135" w:rsidRDefault="003E19E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инвестиционной программе предусмотрены мероприятия для выполнения требований Федерального закона от 26.03.2003г. № 35-ФЗ «Об электроэнергетике», в редакции Федерального закона от 27.12.2018г. № 522-ФЗ «О внесении изменений в отдельные законодательные акты РФ в связи с развитием систем учета электрической энергии (мощности) в РФ», согласно которым на гарантирующего поставщика возложена обязанность по обеспечению коммерческого учета электрической энергии (мощности) на розничных рынках посредством интеллектуальных систем учета в многоквартирных домах. </w:t>
      </w:r>
    </w:p>
    <w:p w:rsidR="00361135" w:rsidRDefault="003E19E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инвестиционной программе учтены расходы на поставку и монтаж капсульных центров обслуживания клиентов (ЦОК), а также на приобретение лицензий ЕОСДО (Единая отраслевая система документооборота) для унификации информационных систем в контуре Госкорпорации «Росатом».</w:t>
      </w:r>
    </w:p>
    <w:p w:rsidR="00361135" w:rsidRDefault="003E19E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Общая стоимость финансирования по инвестиционной программе на 2025-2028г. составляет 1 387,34 млн руб. с НДС, в т. ч. по периодам:</w:t>
      </w:r>
    </w:p>
    <w:p w:rsidR="00361135" w:rsidRDefault="003E19E3">
      <w:pPr>
        <w:pStyle w:val="af1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2025г. – 248,01 млн руб.</w:t>
      </w:r>
    </w:p>
    <w:p w:rsidR="00361135" w:rsidRDefault="003E19E3">
      <w:pPr>
        <w:pStyle w:val="af1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2026г. – 351,77 млн руб.</w:t>
      </w:r>
    </w:p>
    <w:p w:rsidR="00361135" w:rsidRDefault="003E19E3">
      <w:pPr>
        <w:pStyle w:val="af1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2027г. – 394,19 млн руб.</w:t>
      </w:r>
    </w:p>
    <w:p w:rsidR="00361135" w:rsidRDefault="003E19E3">
      <w:pPr>
        <w:pStyle w:val="af1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2028г. – 393,37 млн руб.</w:t>
      </w:r>
    </w:p>
    <w:p w:rsidR="00361135" w:rsidRDefault="003E19E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Ввод объектов основных средств и нематериальных активов в эксплуатацию запланирован в сумме</w:t>
      </w:r>
      <w:r w:rsidR="001B68A3">
        <w:rPr>
          <w:rFonts w:ascii="Times New Roman" w:hAnsi="Times New Roman" w:cs="Times New Roman"/>
          <w:sz w:val="28"/>
          <w:szCs w:val="24"/>
        </w:rPr>
        <w:t xml:space="preserve"> 1 159,78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 xml:space="preserve"> млн руб. (без учета НДС), в т. ч. по периодам:</w:t>
      </w:r>
    </w:p>
    <w:p w:rsidR="00361135" w:rsidRDefault="003E19E3">
      <w:pPr>
        <w:pStyle w:val="af1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2025г. – 206,68 млн руб.</w:t>
      </w:r>
    </w:p>
    <w:p w:rsidR="00361135" w:rsidRDefault="003E19E3">
      <w:pPr>
        <w:pStyle w:val="af1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2026г. – 294,33 млн руб.</w:t>
      </w:r>
    </w:p>
    <w:p w:rsidR="00361135" w:rsidRDefault="003E19E3">
      <w:pPr>
        <w:pStyle w:val="af1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2027г. – 329,71 млн руб.</w:t>
      </w:r>
    </w:p>
    <w:p w:rsidR="00361135" w:rsidRDefault="003E19E3">
      <w:pPr>
        <w:pStyle w:val="af1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2028г. – 329,07 млн руб.</w:t>
      </w:r>
    </w:p>
    <w:p w:rsidR="00361135" w:rsidRDefault="003E19E3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Источники финансирования инвестиционной программы:</w:t>
      </w:r>
    </w:p>
    <w:p w:rsidR="00361135" w:rsidRDefault="003E19E3">
      <w:pPr>
        <w:pStyle w:val="af1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Амортизационные отчисления – 358,85 млн руб.</w:t>
      </w:r>
    </w:p>
    <w:p w:rsidR="00361135" w:rsidRDefault="003E19E3">
      <w:pPr>
        <w:pStyle w:val="af1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2025г. – 58,47 млн руб.</w:t>
      </w:r>
    </w:p>
    <w:p w:rsidR="00361135" w:rsidRDefault="003E19E3">
      <w:pPr>
        <w:pStyle w:val="af1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2026г. – 76,99 млн руб.</w:t>
      </w:r>
    </w:p>
    <w:p w:rsidR="00361135" w:rsidRDefault="003E19E3">
      <w:pPr>
        <w:pStyle w:val="af1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2027г. – 100,17 млн руб.</w:t>
      </w:r>
    </w:p>
    <w:p w:rsidR="00361135" w:rsidRDefault="003E19E3">
      <w:pPr>
        <w:pStyle w:val="af1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2028г. – 123,23 млн руб.</w:t>
      </w:r>
    </w:p>
    <w:p w:rsidR="00361135" w:rsidRDefault="00361135">
      <w:pPr>
        <w:pStyle w:val="af1"/>
        <w:ind w:firstLine="414"/>
        <w:jc w:val="both"/>
        <w:rPr>
          <w:rFonts w:ascii="Times New Roman" w:hAnsi="Times New Roman" w:cs="Times New Roman"/>
          <w:sz w:val="28"/>
          <w:szCs w:val="24"/>
        </w:rPr>
      </w:pPr>
    </w:p>
    <w:p w:rsidR="00361135" w:rsidRDefault="003E19E3">
      <w:pPr>
        <w:pStyle w:val="af1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Прибыль, направляемая на инвестиции – 1 171,9 млн руб.</w:t>
      </w:r>
    </w:p>
    <w:p w:rsidR="00361135" w:rsidRDefault="003E19E3">
      <w:pPr>
        <w:pStyle w:val="af1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2025г. – 148,21 млн руб.</w:t>
      </w:r>
    </w:p>
    <w:p w:rsidR="00361135" w:rsidRDefault="003E19E3">
      <w:pPr>
        <w:pStyle w:val="af1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2026г. – 217,34 млн руб.</w:t>
      </w:r>
    </w:p>
    <w:p w:rsidR="00361135" w:rsidRDefault="003E19E3">
      <w:pPr>
        <w:pStyle w:val="af1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2027г. – 229,54 млн руб.</w:t>
      </w:r>
    </w:p>
    <w:p w:rsidR="00361135" w:rsidRDefault="003E19E3">
      <w:pPr>
        <w:pStyle w:val="af1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2028г. – 205,84 млн руб.</w:t>
      </w:r>
    </w:p>
    <w:p w:rsidR="00361135" w:rsidRDefault="00361135">
      <w:pPr>
        <w:pStyle w:val="af1"/>
        <w:ind w:firstLine="414"/>
        <w:jc w:val="both"/>
        <w:rPr>
          <w:rFonts w:ascii="Times New Roman" w:hAnsi="Times New Roman" w:cs="Times New Roman"/>
          <w:sz w:val="28"/>
          <w:szCs w:val="24"/>
        </w:rPr>
      </w:pPr>
    </w:p>
    <w:p w:rsidR="00361135" w:rsidRDefault="003E19E3">
      <w:pPr>
        <w:pStyle w:val="af1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Возврат налога на добавленную стоимость – 227,56 млн руб.</w:t>
      </w:r>
    </w:p>
    <w:p w:rsidR="00361135" w:rsidRDefault="003E19E3">
      <w:pPr>
        <w:pStyle w:val="af1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2025г. – 41,34 млн руб.</w:t>
      </w:r>
    </w:p>
    <w:p w:rsidR="00361135" w:rsidRDefault="003E19E3">
      <w:pPr>
        <w:pStyle w:val="af1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2026г. – 57,44 млн руб.</w:t>
      </w:r>
    </w:p>
    <w:p w:rsidR="00361135" w:rsidRDefault="003E19E3">
      <w:pPr>
        <w:pStyle w:val="af1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2027г. – 64,48 млн руб.</w:t>
      </w:r>
    </w:p>
    <w:p w:rsidR="00361135" w:rsidRDefault="003E19E3">
      <w:pPr>
        <w:pStyle w:val="af1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2028г. – 64,30 млн руб.</w:t>
      </w:r>
    </w:p>
    <w:p w:rsidR="00361135" w:rsidRDefault="00361135">
      <w:pPr>
        <w:pStyle w:val="af1"/>
        <w:ind w:left="1134"/>
        <w:jc w:val="both"/>
        <w:rPr>
          <w:rFonts w:ascii="Times New Roman" w:hAnsi="Times New Roman" w:cs="Times New Roman"/>
          <w:sz w:val="28"/>
          <w:szCs w:val="24"/>
        </w:rPr>
      </w:pPr>
    </w:p>
    <w:p w:rsidR="00361135" w:rsidRDefault="003E19E3">
      <w:pPr>
        <w:ind w:left="36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4"/>
        </w:rPr>
        <w:t>. Обоснование необходимости инвестиционных проектов</w:t>
      </w:r>
    </w:p>
    <w:p w:rsidR="00361135" w:rsidRDefault="003E19E3">
      <w:pPr>
        <w:pStyle w:val="af1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Оборудование многоквартирных жилых домов интеллектуальной системой учета – 1 206,46 млн руб. (с НДС), в т. ч.:</w:t>
      </w:r>
    </w:p>
    <w:p w:rsidR="00361135" w:rsidRDefault="003E19E3">
      <w:pPr>
        <w:pStyle w:val="af1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2025г. – 248,01 млн руб.</w:t>
      </w:r>
    </w:p>
    <w:p w:rsidR="00361135" w:rsidRDefault="003E19E3">
      <w:pPr>
        <w:pStyle w:val="af1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2026г. – 283,08 млн руб.</w:t>
      </w:r>
    </w:p>
    <w:p w:rsidR="00361135" w:rsidRDefault="003E19E3">
      <w:pPr>
        <w:pStyle w:val="af1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2027г. – 322,83 млн руб.</w:t>
      </w:r>
    </w:p>
    <w:p w:rsidR="00361135" w:rsidRDefault="003E19E3">
      <w:pPr>
        <w:pStyle w:val="af1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2028г. – 352,54 млн руб.</w:t>
      </w:r>
    </w:p>
    <w:p w:rsidR="00361135" w:rsidRDefault="003E19E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Согласно ФЗ №522 от 27.12.2018г.  с 1 июля 2020г. гарантирующие поставщики на территории Российской Федерации обязаны обеспечивать коммерческий учет электроэнергии (установку, допуск приборов учета электрической энергии) и их подключение к интеллектуальной системе учета электрической энергии в многоквартирных домах. </w:t>
      </w:r>
    </w:p>
    <w:p w:rsidR="00361135" w:rsidRDefault="003E19E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Интеллектуальная система учета позволяет производить не только удаленный сбор данных, обработку, хранение, передачу показаний приборов учета, но и удаленное управление устройствами, приборами учета в её составе. При этом, данная система должна предоставлять пользователям (как поставщику, так и потребителю электрической энергии) доступ к минимальному набору функций интеллектуальных систем учета электрической энергии (мощности) согласно ПП 890 от 19.06.2020г.  «О порядке предоставления доступа к минимальному набору функций интеллектуальных систем учета электрической энергии»</w:t>
      </w:r>
    </w:p>
    <w:p w:rsidR="00361135" w:rsidRDefault="003E19E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 преимуществам интеллектуальных систем учета можно отнести:</w:t>
      </w:r>
    </w:p>
    <w:p w:rsidR="00361135" w:rsidRDefault="003E19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Автоматический и одномоментный сбор данных с приборов учета;</w:t>
      </w:r>
    </w:p>
    <w:p w:rsidR="00361135" w:rsidRDefault="003E19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Снижение потребления электрической энергии на общедомовые нужды;</w:t>
      </w:r>
    </w:p>
    <w:p w:rsidR="00361135" w:rsidRDefault="003E19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Просмотр данных потребления электрической энергии в режиме реального времени через мобильное приложение;</w:t>
      </w:r>
    </w:p>
    <w:p w:rsidR="00361135" w:rsidRDefault="003E19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Защита информации, в т.ч. защита от несанкционированного вскрытия (наличие электронных пломб корпуса и крышки клеммной колодки). Исключение несанкционированных подключений и безучетного потребления;</w:t>
      </w:r>
    </w:p>
    <w:p w:rsidR="00361135" w:rsidRDefault="003E19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Обеспечение защиты от электромагнитного воздействия (встроенный датчик магнитного поля);</w:t>
      </w:r>
    </w:p>
    <w:p w:rsidR="00361135" w:rsidRDefault="003E19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Самодиагностика. Наличие журнала событий.</w:t>
      </w:r>
    </w:p>
    <w:p w:rsidR="00361135" w:rsidRDefault="003E19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Возможность использования в расчетах нескольких тарифов, без последующей замены прибора учета.</w:t>
      </w:r>
    </w:p>
    <w:p w:rsidR="00361135" w:rsidRDefault="003E19E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Таким образом, развитие интеллектуальных систем учета электрической энергии одновременно решает несколько важных задач: повышение точности коммерческого учета электрической энергии, борьба с хищением электроэнергии, повышение прозрачности и доступности информации для абонентов о потребленной электроэнергии </w:t>
      </w:r>
    </w:p>
    <w:p w:rsidR="00361135" w:rsidRDefault="003E19E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Расходы гарантирующего поставщика, понесенные для исполнения обязательств по организации коммерческого учета в МКД, подлежат включению в состав сбытовой надбавки ГП.</w:t>
      </w:r>
    </w:p>
    <w:p w:rsidR="00361135" w:rsidRDefault="003E19E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Программа по оснащению интеллектуальной системой учета включает следующие мероприятия:</w:t>
      </w:r>
    </w:p>
    <w:p w:rsidR="00361135" w:rsidRDefault="003E19E3">
      <w:pPr>
        <w:pStyle w:val="af1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Разработка проектной и рабочей документации на ИСУ</w:t>
      </w:r>
    </w:p>
    <w:p w:rsidR="00361135" w:rsidRDefault="003E19E3">
      <w:pPr>
        <w:pStyle w:val="af1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Поставка приборов учета и материалов</w:t>
      </w:r>
    </w:p>
    <w:p w:rsidR="00361135" w:rsidRDefault="003E19E3">
      <w:pPr>
        <w:pStyle w:val="af1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Монтаж приборов учета</w:t>
      </w:r>
    </w:p>
    <w:p w:rsidR="00361135" w:rsidRDefault="003E19E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Расчет расходов произведен исходя из количества приборов учета, которые необходимо установить в течении соответствующего года; учтены точки учета, в которых на данный момент прибор учета отсутствует или неисправен, а также приборы учета, у которых истекает срок поверки. За основу принято комплексное оснащение интеллектуальными ПУ наиболее эффективных для оснащения МКД. Тип приборов учёта выбран в соответствии с проектом ПП о правилах минимального функционала ИСУ, включающих, в том числе, почасовой учёт активной и реактивной энергии и мощности и устройство (реле) дистанционного ограничения. </w:t>
      </w:r>
    </w:p>
    <w:p w:rsidR="00361135" w:rsidRDefault="003E19E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Цены на приборы учёта и оборудование для расчета использованы на основании подписанного договора на выполнение комплексных работ по созданию интеллектуальных систем учета электроэнергии на 2024-2026 годы. Договор заключен по результатам закупочной процедуры по минимальным ценам, предложенным поставщиками. На 2027-2028 годы цены рассчитаны с учетом ожидаемого уровня инфляции.</w:t>
      </w:r>
    </w:p>
    <w:p w:rsidR="00361135" w:rsidRDefault="003E19E3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Приложения: </w:t>
      </w:r>
    </w:p>
    <w:p w:rsidR="00361135" w:rsidRDefault="003E19E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Паспорт инвестиционного проекта </w:t>
      </w:r>
      <w:r>
        <w:rPr>
          <w:rFonts w:ascii="Times New Roman" w:hAnsi="Times New Roman" w:cs="Times New Roman"/>
          <w:sz w:val="28"/>
          <w:szCs w:val="24"/>
          <w:lang w:val="en-US"/>
        </w:rPr>
        <w:t>N</w:t>
      </w:r>
      <w:r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  <w:lang w:val="en-US"/>
        </w:rPr>
        <w:t>S</w:t>
      </w:r>
      <w:r>
        <w:rPr>
          <w:rFonts w:ascii="Times New Roman" w:hAnsi="Times New Roman" w:cs="Times New Roman"/>
          <w:sz w:val="28"/>
          <w:szCs w:val="24"/>
        </w:rPr>
        <w:t>01.</w:t>
      </w:r>
    </w:p>
    <w:p w:rsidR="00361135" w:rsidRDefault="003E1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Плановая программа по оснащению приборами учета электрической энергии (мощности) в рамках инвестиционной программы. </w:t>
      </w:r>
    </w:p>
    <w:p w:rsidR="00361135" w:rsidRDefault="003E19E3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Договор подряда № 2010591300/СМ/173.24 от 08.05.2024г.</w:t>
      </w:r>
    </w:p>
    <w:p w:rsidR="00361135" w:rsidRDefault="00361135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361135" w:rsidRDefault="003E19E3">
      <w:pPr>
        <w:pStyle w:val="af1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Лицензия ЕОСДО (Единая отраслевая система документооборота – 22,00 млн руб. (НДС не облагается)</w:t>
      </w:r>
    </w:p>
    <w:p w:rsidR="00361135" w:rsidRDefault="003E19E3">
      <w:pPr>
        <w:pStyle w:val="af1"/>
        <w:ind w:left="108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2026г. – 7,13 млн руб.</w:t>
      </w:r>
    </w:p>
    <w:p w:rsidR="00361135" w:rsidRDefault="003E19E3">
      <w:pPr>
        <w:pStyle w:val="af1"/>
        <w:ind w:left="108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2027г. – 7,33 млн руб.</w:t>
      </w:r>
    </w:p>
    <w:p w:rsidR="00361135" w:rsidRDefault="003E19E3">
      <w:pPr>
        <w:pStyle w:val="af1"/>
        <w:ind w:left="108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2028г. – 7,55 млн руб.</w:t>
      </w:r>
    </w:p>
    <w:p w:rsidR="00361135" w:rsidRDefault="003E19E3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Проект запланирован в рамках дорожной карты подключения АО «АтомЭнергоСбыт» к единой отраслевой системы документооборота Госкорпорации «Росатом» 2.0 и единой отраслевой системой «Централизованный электронный архив». </w:t>
      </w:r>
    </w:p>
    <w:p w:rsidR="00361135" w:rsidRDefault="003E19E3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Единая отраслевая система электронного документооборота Госкорпорации «Росатом» 2.0 (ЕОСДО 2.0) внесена в единый реестр российских программ для электронных вычислительных машин и баз данных, реестровая запись №26104 от 27.01.2025. По договору планируется оказание услуг по предоставлению виртуальных вычислительных ресурсов защищенного корпоративного облака «Росатом» и поддержки системного ландшафта для функционирования информационной системы.</w:t>
      </w:r>
    </w:p>
    <w:p w:rsidR="00361135" w:rsidRDefault="003E19E3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Расчет стоимости произведен по АО «АтомЭнергоСбыт» исходя из стоимости приобретаемых прав для одного пользователя, использующего централизованную инсталляцию, плановое количество пользователей системы по филиалу – 539 пользователей.</w:t>
      </w:r>
    </w:p>
    <w:p w:rsidR="00361135" w:rsidRDefault="0036113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361135" w:rsidRDefault="003E19E3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Приложения: </w:t>
      </w:r>
    </w:p>
    <w:p w:rsidR="00361135" w:rsidRDefault="003E19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Паспорт инвестиционного проекта Р_</w:t>
      </w:r>
      <w:r>
        <w:rPr>
          <w:rFonts w:ascii="Times New Roman" w:hAnsi="Times New Roman" w:cs="Times New Roman"/>
          <w:sz w:val="28"/>
          <w:szCs w:val="24"/>
          <w:lang w:val="en-US"/>
        </w:rPr>
        <w:t>S</w:t>
      </w:r>
      <w:r>
        <w:rPr>
          <w:rFonts w:ascii="Times New Roman" w:hAnsi="Times New Roman" w:cs="Times New Roman"/>
          <w:sz w:val="28"/>
          <w:szCs w:val="24"/>
        </w:rPr>
        <w:t>02.</w:t>
      </w:r>
    </w:p>
    <w:p w:rsidR="00361135" w:rsidRDefault="003E19E3">
      <w:pPr>
        <w:spacing w:after="0" w:line="264" w:lineRule="auto"/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Коммерческое предложение Госкорпорации «Росатом» на лицензии ЕОСДО 2.0.</w:t>
      </w:r>
    </w:p>
    <w:p w:rsidR="00361135" w:rsidRDefault="00361135">
      <w:pPr>
        <w:spacing w:line="264" w:lineRule="auto"/>
        <w:ind w:left="720"/>
        <w:jc w:val="both"/>
        <w:rPr>
          <w:rFonts w:ascii="Times New Roman" w:hAnsi="Times New Roman"/>
          <w:sz w:val="28"/>
        </w:rPr>
      </w:pPr>
    </w:p>
    <w:p w:rsidR="00361135" w:rsidRDefault="003E19E3">
      <w:pPr>
        <w:pStyle w:val="af1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Поставка и монтаж капсульных центров обслуживания клиентов – 158,88 млн руб. (с НДС).</w:t>
      </w:r>
    </w:p>
    <w:p w:rsidR="00361135" w:rsidRDefault="003E19E3">
      <w:pPr>
        <w:pStyle w:val="af1"/>
        <w:ind w:left="108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2026г. – 61,56 млн руб.</w:t>
      </w:r>
    </w:p>
    <w:p w:rsidR="00361135" w:rsidRDefault="003E19E3">
      <w:pPr>
        <w:pStyle w:val="af1"/>
        <w:ind w:left="108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2027г. – 64,02 млн руб.</w:t>
      </w:r>
    </w:p>
    <w:p w:rsidR="00361135" w:rsidRDefault="003E19E3">
      <w:pPr>
        <w:pStyle w:val="af1"/>
        <w:ind w:left="108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2028г. – 33,29 млн руб.</w:t>
      </w:r>
    </w:p>
    <w:p w:rsidR="00361135" w:rsidRDefault="00361135">
      <w:pPr>
        <w:pStyle w:val="af1"/>
        <w:ind w:left="1080"/>
        <w:jc w:val="both"/>
        <w:rPr>
          <w:rFonts w:ascii="Times New Roman" w:hAnsi="Times New Roman" w:cs="Times New Roman"/>
          <w:sz w:val="28"/>
          <w:szCs w:val="24"/>
        </w:rPr>
      </w:pPr>
    </w:p>
    <w:p w:rsidR="00361135" w:rsidRDefault="003E19E3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Проект обусловлен необходимостью обеспечения сотрудников небольших участков филиала офисными помещениями, соответствующими стандартам размещения персонала. Реализация проекта будет способствовать повышению клиентоориентированности, обеспечению комфортности и доступности получаемых клиентами филиала услуг, а также обеспечение приема увеличивающегося потока клиентов в рамках оказания услуг ЕРКЦ. </w:t>
      </w:r>
    </w:p>
    <w:p w:rsidR="00361135" w:rsidRDefault="003E19E3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Капсульный центр обслуживания клиентов состоит из плиточного фундамента с подведенными коммуникациями, а также монтируемой конструкции. Земельный участок арендуется и не включается в инвестиционный проект. Расчет </w:t>
      </w:r>
      <w:r>
        <w:rPr>
          <w:rFonts w:ascii="Times New Roman" w:hAnsi="Times New Roman"/>
          <w:sz w:val="28"/>
        </w:rPr>
        <w:lastRenderedPageBreak/>
        <w:t>инвестиций произведен по имеющимся коммерческим предложениям на монтаж капсульного ЦОК и на обустройство фундамента с учетом ИПЦ.</w:t>
      </w:r>
    </w:p>
    <w:p w:rsidR="00361135" w:rsidRDefault="003E19E3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Капсульный центр обслуживания клиентов одноэтажный, имеет размеры 6,6 х 8,7 м и суммарную площадь помещений 54,2 м2, что достаточно для размещения до 6 человек персонала и приема и ожидания до 10 клиентов одновременно. Включает зону обслуживания в соответствии со стандартами Общества, с одновременным приемом до 5 человек 5 сотрудниками с кассовым обслуживанием, зону ожидания для клиента, кабинет приема юридических лиц (кабинет руководителя участка), подсобные помещения.</w:t>
      </w:r>
    </w:p>
    <w:p w:rsidR="00361135" w:rsidRDefault="003E19E3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необходимости возможно выделение мест в зоне обслуживания для периодических приемов сотрудниками иных организаций (предприятия ЖКХ, управляющие организации, сотрудники МФЦ).</w:t>
      </w:r>
    </w:p>
    <w:p w:rsidR="00361135" w:rsidRDefault="003E19E3">
      <w:pPr>
        <w:spacing w:after="0"/>
        <w:jc w:val="both"/>
      </w:pPr>
      <w:r>
        <w:tab/>
      </w:r>
      <w:r>
        <w:rPr>
          <w:rFonts w:ascii="Times New Roman" w:hAnsi="Times New Roman"/>
          <w:sz w:val="28"/>
        </w:rPr>
        <w:t>Капсульный центр обслуживания клиентов поставляется в полном оснащении, включая мебель, охранно-пожарную сигнализацию и видеонаблюдение, оборудование санузлов.</w:t>
      </w:r>
    </w:p>
    <w:p w:rsidR="00361135" w:rsidRDefault="003E19E3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Капсульный центр обслуживания клиентов допускает разборку конструкции и перенос на иное место, при необходимости. </w:t>
      </w:r>
    </w:p>
    <w:p w:rsidR="00361135" w:rsidRDefault="003E19E3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Монтаж капсульных центров обслуживания клиентов запланирован в населенных пунктах, в которых нет возможности арендовать помещения, соответствующие стандартам размещения персонала и обслуживания клиентов.</w:t>
      </w:r>
    </w:p>
    <w:p w:rsidR="00361135" w:rsidRDefault="00361135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361135" w:rsidRDefault="003E19E3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Запланировано размещение центров обслуживания клиентов в следующих населенных пунктах Смоленской области:</w:t>
      </w:r>
    </w:p>
    <w:p w:rsidR="00361135" w:rsidRDefault="003E19E3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2026г. – Глинка, Холм-Жирковский,</w:t>
      </w:r>
    </w:p>
    <w:p w:rsidR="00361135" w:rsidRDefault="003E19E3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2027г. – Красный, Сычевка,</w:t>
      </w:r>
    </w:p>
    <w:p w:rsidR="00361135" w:rsidRDefault="003E19E3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2028г. – Темкино.</w:t>
      </w:r>
    </w:p>
    <w:p w:rsidR="00361135" w:rsidRDefault="00361135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361135" w:rsidRDefault="003E19E3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Приложения: </w:t>
      </w:r>
    </w:p>
    <w:p w:rsidR="00361135" w:rsidRDefault="003E1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Паспорт инвестиционного проекта Р_</w:t>
      </w:r>
      <w:r>
        <w:rPr>
          <w:rFonts w:ascii="Times New Roman" w:hAnsi="Times New Roman" w:cs="Times New Roman"/>
          <w:sz w:val="28"/>
          <w:szCs w:val="24"/>
          <w:lang w:val="en-US"/>
        </w:rPr>
        <w:t>S</w:t>
      </w:r>
      <w:r>
        <w:rPr>
          <w:rFonts w:ascii="Times New Roman" w:hAnsi="Times New Roman" w:cs="Times New Roman"/>
          <w:sz w:val="28"/>
          <w:szCs w:val="24"/>
        </w:rPr>
        <w:t>03.</w:t>
      </w:r>
    </w:p>
    <w:p w:rsidR="00361135" w:rsidRDefault="003E1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Расчет стоимости поставки и монтажа капсульных центров обслуживания клиентов.</w:t>
      </w:r>
    </w:p>
    <w:p w:rsidR="00361135" w:rsidRDefault="003E19E3">
      <w:pPr>
        <w:spacing w:after="0" w:line="240" w:lineRule="auto"/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Коммерческие предложения поставщиков.</w:t>
      </w:r>
    </w:p>
    <w:p w:rsidR="00361135" w:rsidRDefault="00361135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361135" w:rsidRDefault="00361135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361135" w:rsidRDefault="003E19E3">
      <w:pPr>
        <w:pStyle w:val="af1"/>
        <w:ind w:left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Заместитель директора филиала                                            </w:t>
      </w:r>
    </w:p>
    <w:p w:rsidR="00361135" w:rsidRDefault="003E19E3">
      <w:pPr>
        <w:pStyle w:val="af1"/>
        <w:ind w:left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по экономике и финансам                 </w:t>
      </w:r>
      <w:r>
        <w:rPr>
          <w:rFonts w:ascii="Times New Roman" w:hAnsi="Times New Roman" w:cs="Times New Roman"/>
          <w:b/>
          <w:sz w:val="28"/>
          <w:szCs w:val="24"/>
        </w:rPr>
        <w:tab/>
        <w:t xml:space="preserve">              </w:t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  <w:t>А.В. Школьников</w:t>
      </w:r>
    </w:p>
    <w:sectPr w:rsidR="00361135">
      <w:pgSz w:w="11906" w:h="16838"/>
      <w:pgMar w:top="765" w:right="850" w:bottom="567" w:left="1134" w:header="708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AE0" w:rsidRDefault="003E19E3">
      <w:pPr>
        <w:spacing w:after="0" w:line="240" w:lineRule="auto"/>
      </w:pPr>
      <w:r>
        <w:separator/>
      </w:r>
    </w:p>
  </w:endnote>
  <w:endnote w:type="continuationSeparator" w:id="0">
    <w:p w:rsidR="00FF4AE0" w:rsidRDefault="003E1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AE0" w:rsidRDefault="003E19E3">
      <w:pPr>
        <w:spacing w:after="0" w:line="240" w:lineRule="auto"/>
      </w:pPr>
      <w:r>
        <w:separator/>
      </w:r>
    </w:p>
  </w:footnote>
  <w:footnote w:type="continuationSeparator" w:id="0">
    <w:p w:rsidR="00FF4AE0" w:rsidRDefault="003E1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F1EC6"/>
    <w:multiLevelType w:val="multilevel"/>
    <w:tmpl w:val="6D16631C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30E2D40"/>
    <w:multiLevelType w:val="multilevel"/>
    <w:tmpl w:val="48E015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C65A45"/>
    <w:multiLevelType w:val="multilevel"/>
    <w:tmpl w:val="88EEAAF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35"/>
    <w:rsid w:val="001B68A3"/>
    <w:rsid w:val="00361135"/>
    <w:rsid w:val="003E19E3"/>
    <w:rsid w:val="00BF196C"/>
    <w:rsid w:val="00F50EC6"/>
    <w:rsid w:val="00FF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E6AB85-CDC8-435D-9728-3A7A72A8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92587C"/>
  </w:style>
  <w:style w:type="character" w:customStyle="1" w:styleId="a5">
    <w:name w:val="Нижний колонтитул Знак"/>
    <w:basedOn w:val="a0"/>
    <w:link w:val="a6"/>
    <w:uiPriority w:val="99"/>
    <w:qFormat/>
    <w:rsid w:val="0092587C"/>
  </w:style>
  <w:style w:type="character" w:styleId="a7">
    <w:name w:val="Hyperlink"/>
    <w:basedOn w:val="a0"/>
    <w:uiPriority w:val="99"/>
    <w:unhideWhenUsed/>
    <w:rsid w:val="00126E35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C44D72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uiPriority w:val="99"/>
    <w:semiHidden/>
    <w:qFormat/>
    <w:rsid w:val="00C44D72"/>
    <w:rPr>
      <w:sz w:val="20"/>
      <w:szCs w:val="20"/>
    </w:rPr>
  </w:style>
  <w:style w:type="character" w:customStyle="1" w:styleId="ab">
    <w:name w:val="Тема примечания Знак"/>
    <w:basedOn w:val="a9"/>
    <w:link w:val="ac"/>
    <w:uiPriority w:val="99"/>
    <w:semiHidden/>
    <w:qFormat/>
    <w:rsid w:val="00C44D72"/>
    <w:rPr>
      <w:b/>
      <w:bCs/>
      <w:sz w:val="20"/>
      <w:szCs w:val="20"/>
    </w:rPr>
  </w:style>
  <w:style w:type="character" w:customStyle="1" w:styleId="ad">
    <w:name w:val="Текст выноски Знак"/>
    <w:basedOn w:val="a0"/>
    <w:link w:val="ae"/>
    <w:uiPriority w:val="99"/>
    <w:semiHidden/>
    <w:qFormat/>
    <w:rsid w:val="00C44D72"/>
    <w:rPr>
      <w:rFonts w:ascii="Tahoma" w:hAnsi="Tahoma" w:cs="Tahoma"/>
      <w:sz w:val="16"/>
      <w:szCs w:val="16"/>
    </w:rPr>
  </w:style>
  <w:style w:type="character" w:styleId="af">
    <w:name w:val="Subtle Emphasis"/>
    <w:basedOn w:val="a0"/>
    <w:uiPriority w:val="19"/>
    <w:qFormat/>
    <w:rsid w:val="00207563"/>
    <w:rPr>
      <w:i/>
      <w:iCs/>
      <w:color w:val="404040" w:themeColor="text1" w:themeTint="BF"/>
    </w:rPr>
  </w:style>
  <w:style w:type="character" w:customStyle="1" w:styleId="af0">
    <w:name w:val="Абзац списка Знак"/>
    <w:basedOn w:val="a0"/>
    <w:link w:val="af1"/>
    <w:qFormat/>
    <w:rsid w:val="00817C96"/>
  </w:style>
  <w:style w:type="paragraph" w:customStyle="1" w:styleId="af2">
    <w:name w:val="Заголовок"/>
    <w:basedOn w:val="a"/>
    <w:next w:val="af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ascii="PT Astra Serif" w:hAnsi="PT Astra Serif" w:cs="Noto Sans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1">
    <w:name w:val="List Paragraph"/>
    <w:basedOn w:val="a"/>
    <w:link w:val="af0"/>
    <w:qFormat/>
    <w:rsid w:val="00FF3957"/>
    <w:pPr>
      <w:ind w:left="720"/>
      <w:contextualSpacing/>
    </w:pPr>
  </w:style>
  <w:style w:type="paragraph" w:customStyle="1" w:styleId="af7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9258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92587C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annotation text"/>
    <w:basedOn w:val="a"/>
    <w:link w:val="a9"/>
    <w:uiPriority w:val="99"/>
    <w:semiHidden/>
    <w:unhideWhenUsed/>
    <w:qFormat/>
    <w:rsid w:val="00C44D72"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qFormat/>
    <w:rsid w:val="00C44D72"/>
    <w:rPr>
      <w:b/>
      <w:bCs/>
    </w:rPr>
  </w:style>
  <w:style w:type="paragraph" w:styleId="ae">
    <w:name w:val="Balloon Text"/>
    <w:basedOn w:val="a"/>
    <w:link w:val="ad"/>
    <w:uiPriority w:val="99"/>
    <w:semiHidden/>
    <w:unhideWhenUsed/>
    <w:qFormat/>
    <w:rsid w:val="00C44D7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39"/>
    <w:rsid w:val="00027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7CDFF-3443-4F1D-BDDE-67DD5AEA6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1441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dc:description/>
  <cp:lastModifiedBy>Павлова Светлана Анатольевна</cp:lastModifiedBy>
  <cp:revision>3</cp:revision>
  <cp:lastPrinted>2018-04-10T15:20:00Z</cp:lastPrinted>
  <dcterms:created xsi:type="dcterms:W3CDTF">2025-04-15T06:15:00Z</dcterms:created>
  <dcterms:modified xsi:type="dcterms:W3CDTF">2025-04-15T06:18:00Z</dcterms:modified>
  <dc:language>ru-RU</dc:language>
</cp:coreProperties>
</file>